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sz="0"/>
              <w:left w:val="none" w:sz="0"/>
              <w:bottom w:val="none" w:sz="0"/>
              <w:right w:val="none" w:sz="0"/>
            </w:tcBorders>
            <w:shd w:fill="2A7B88" w:val="clear"/>
            <w:tcMar>
              <w:top w:type="dxa" w:w="180"/>
              <w:left w:type="dxa" w:w="300"/>
              <w:bottom w:type="dxa" w:w="160"/>
              <w:right w:type="dxa" w:w="30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Supporting Neurodivergent Educators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E8F4F6"/>
                <w:sz w:val="17"/>
                <w:szCs w:val="17"/>
              </w:rPr>
              <w:t xml:space="preserve">A SAND guide for inclusive, reflective staff support</w:t>
            </w:r>
          </w:p>
        </w:tc>
      </w:tr>
    </w:tbl>
    <w:p>
      <w:pPr>
        <w:spacing w:before="10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Why This Matters</w:t>
            </w:r>
          </w:p>
        </w:tc>
      </w:tr>
    </w:tbl>
    <w:p>
      <w:pPr>
        <w:spacing w:before="50" w:after="0"/>
      </w:pPr>
    </w:p>
    <w:p>
      <w:pPr>
        <w:spacing w:after="120"/>
      </w:pPr>
      <w:r>
        <w:rPr>
          <w:rFonts w:ascii="Arial" w:cs="Arial" w:eastAsia="Arial" w:hAnsi="Arial"/>
          <w:color w:val="444444"/>
          <w:sz w:val="17"/>
          <w:szCs w:val="17"/>
        </w:rPr>
        <w:t xml:space="preserve">Schools increasingly recognise neurodiversity among students, yet neurodiversity among educators is rarely discussed. Many teachers, LSAs, and support staff navigate environments that are sensory overwhelming, emotionally demanding, and highly reactive – every day.</w:t>
      </w:r>
    </w:p>
    <w:p>
      <w:pPr>
        <w:spacing w:after="120"/>
      </w:pPr>
      <w:r>
        <w:rPr>
          <w:rFonts w:ascii="Arial" w:cs="Arial" w:eastAsia="Arial" w:hAnsi="Arial"/>
          <w:color w:val="444444"/>
          <w:sz w:val="17"/>
          <w:szCs w:val="17"/>
        </w:rPr>
        <w:t xml:space="preserve">SAND recognises that educator wellbeing is part of the support system. When adults within a system are supported, behaviour responses become more consistent, reflective, and sustainable.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2A7B88"/>
          <w:sz w:val="17"/>
          <w:szCs w:val="17"/>
        </w:rPr>
        <w:t xml:space="preserve">This guide is not about diagnosing staff. It is about creating environments where all adults can do their best work – regardless of how their brain processes the world.</w:t>
      </w:r>
    </w:p>
    <w:p>
      <w:pPr>
        <w:spacing w:before="12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What Neurodivergent Educators May Experience</w:t>
            </w:r>
          </w:p>
        </w:tc>
      </w:tr>
    </w:tbl>
    <w:p>
      <w:pPr>
        <w:spacing w:before="50" w:after="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1E3A42"/>
          <w:sz w:val="18"/>
          <w:szCs w:val="18"/>
        </w:rPr>
        <w:t xml:space="preserve">Sensory demands</w:t>
      </w:r>
    </w:p>
    <w:p>
      <w:pPr>
        <w:spacing w:after="120"/>
      </w:pPr>
      <w:r>
        <w:rPr>
          <w:rFonts w:ascii="Arial" w:cs="Arial" w:eastAsia="Arial" w:hAnsi="Arial"/>
          <w:color w:val="444444"/>
          <w:sz w:val="17"/>
          <w:szCs w:val="17"/>
        </w:rPr>
        <w:t xml:space="preserve">Classrooms are noisy, bright, unpredictable environments. For staff with sensory sensitivities, this can be exhausting – not because the work is too hard, but because the environment makes everything harder.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E3A42"/>
          <w:sz w:val="18"/>
          <w:szCs w:val="18"/>
        </w:rPr>
        <w:t xml:space="preserve">Emotional labour</w:t>
      </w:r>
    </w:p>
    <w:p>
      <w:pPr>
        <w:spacing w:after="120"/>
      </w:pPr>
      <w:r>
        <w:rPr>
          <w:rFonts w:ascii="Arial" w:cs="Arial" w:eastAsia="Arial" w:hAnsi="Arial"/>
          <w:color w:val="444444"/>
          <w:sz w:val="17"/>
          <w:szCs w:val="17"/>
        </w:rPr>
        <w:t xml:space="preserve">Managing the emotional needs of others while regulating your own is demanding for everyone – and can be particularly intense for staff who experience emotions deeply or process social situations differently.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E3A42"/>
          <w:sz w:val="18"/>
          <w:szCs w:val="18"/>
        </w:rPr>
        <w:t xml:space="preserve">Masking and performance</w:t>
      </w:r>
    </w:p>
    <w:p>
      <w:pPr>
        <w:spacing w:after="120"/>
      </w:pPr>
      <w:r>
        <w:rPr>
          <w:rFonts w:ascii="Arial" w:cs="Arial" w:eastAsia="Arial" w:hAnsi="Arial"/>
          <w:color w:val="444444"/>
          <w:sz w:val="17"/>
          <w:szCs w:val="17"/>
        </w:rPr>
        <w:t xml:space="preserve">Some educators mask their natural responses in order to meet professional expectations. This is unsustainable long-term and contributes to burnout, fatigue, and withdrawal.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E3A42"/>
          <w:sz w:val="18"/>
          <w:szCs w:val="18"/>
        </w:rPr>
        <w:t xml:space="preserve">Executive function demands</w:t>
      </w:r>
    </w:p>
    <w:p>
      <w:pPr>
        <w:spacing w:after="120"/>
      </w:pPr>
      <w:r>
        <w:rPr>
          <w:rFonts w:ascii="Arial" w:cs="Arial" w:eastAsia="Arial" w:hAnsi="Arial"/>
          <w:color w:val="444444"/>
          <w:sz w:val="17"/>
          <w:szCs w:val="17"/>
        </w:rPr>
        <w:t xml:space="preserve">Rapid task-switching, last-minute changes, and managing multiple priorities simultaneously can be particularly challenging. This is not a lack of competence – it is a processing difference.</w:t>
      </w:r>
    </w:p>
    <w:p>
      <w:pPr>
        <w:spacing w:before="12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How SAND Supports This</w:t>
            </w:r>
          </w:p>
        </w:tc>
      </w:tr>
    </w:tbl>
    <w:p>
      <w:pPr>
        <w:spacing w:before="50" w:after="0"/>
      </w:pPr>
    </w:p>
    <w:p>
      <w:pPr>
        <w:spacing w:after="80"/>
      </w:pPr>
      <w:r>
        <w:rPr>
          <w:rFonts w:ascii="Arial" w:cs="Arial" w:eastAsia="Arial" w:hAnsi="Arial"/>
          <w:color w:val="444444"/>
          <w:sz w:val="17"/>
          <w:szCs w:val="17"/>
        </w:rPr>
        <w:t xml:space="preserve">SAND provides reflective tools that support all staff – including those who may experience these pressures more acutely: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A7B88"/>
          <w:sz w:val="17"/>
          <w:szCs w:val="17"/>
        </w:rPr>
        <w:t xml:space="preserve">Pause Before Reacting (PAUSE) – 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Creates space between stimulus and response. Helps staff recognise when they are approaching overwhelm and choose a reflective response instead of a reactive one.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A7B88"/>
          <w:sz w:val="17"/>
          <w:szCs w:val="17"/>
        </w:rPr>
        <w:t xml:space="preserve">Educator Regulation &amp; Reflection Sheet – 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A private reflective space for staff to check in with their own regulation, identify pressures, and name what they need.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A7B88"/>
          <w:sz w:val="17"/>
          <w:szCs w:val="17"/>
        </w:rPr>
        <w:t xml:space="preserve">Sensory &amp; Environment Reflection – 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Helps staff understand how their working environment affects them and identify adjustments that could make a meaningful difference.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A7B88"/>
          <w:sz w:val="17"/>
          <w:szCs w:val="17"/>
        </w:rPr>
        <w:t xml:space="preserve">Staff Reflection Form – 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A post-incident reflection tool that includes “What did I notice in myself?” – normalising the idea that adults are affected by behaviour moments too.</w:t>
      </w:r>
    </w:p>
    <w:p>
      <w:pPr>
        <w:spacing w:before="12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/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Creating Inclusive Working Environments</w:t>
            </w:r>
          </w:p>
        </w:tc>
      </w:tr>
    </w:tbl>
    <w:p>
      <w:pPr>
        <w:spacing w:before="50" w:after="0"/>
      </w:pPr>
    </w:p>
    <w:p>
      <w:pPr>
        <w:spacing w:after="80"/>
      </w:pPr>
      <w:r>
        <w:rPr>
          <w:rFonts w:ascii="Arial" w:cs="Arial" w:eastAsia="Arial" w:hAnsi="Arial"/>
          <w:color w:val="444444"/>
          <w:sz w:val="17"/>
          <w:szCs w:val="17"/>
        </w:rPr>
        <w:t xml:space="preserve">Schools and settings can support neurodivergent staff by: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A7B88"/>
          <w:sz w:val="17"/>
          <w:szCs w:val="17"/>
        </w:rPr>
        <w:t xml:space="preserve">Normalising differences – 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Acknowledging that adults, like children, have different ways of processing. This is a strength, not a problem.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A7B88"/>
          <w:sz w:val="17"/>
          <w:szCs w:val="17"/>
        </w:rPr>
        <w:t xml:space="preserve">Providing quiet spaces – 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Somewhere staff can decompress, even briefly, during the day.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A7B88"/>
          <w:sz w:val="17"/>
          <w:szCs w:val="17"/>
        </w:rPr>
        <w:t xml:space="preserve">Reducing unnecessary sensory load – 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Changes that benefit neurodivergent staff often benefit everyone – calmer environments, clearer communication, predictable routines.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A7B88"/>
          <w:sz w:val="17"/>
          <w:szCs w:val="17"/>
        </w:rPr>
        <w:t xml:space="preserve">Supporting flexible working where possible – 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Recognising that one-size-fits-all approaches to the working day may not work for everyone.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A7B88"/>
          <w:sz w:val="17"/>
          <w:szCs w:val="17"/>
        </w:rPr>
        <w:t xml:space="preserve">Using reflective supervision – </w:t>
      </w:r>
      <w:r>
        <w:rPr>
          <w:rFonts w:ascii="Arial" w:cs="Arial" w:eastAsia="Arial" w:hAnsi="Arial"/>
          <w:color w:val="444444"/>
          <w:sz w:val="17"/>
          <w:szCs w:val="17"/>
        </w:rPr>
        <w:t xml:space="preserve">Rather than performance-focused check-ins, offer spaces where staff can reflect honestly on what is working and what they need.</w:t>
      </w:r>
    </w:p>
    <w:p>
      <w:pPr>
        <w:spacing w:before="12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2"/>
              <w:left w:val="single" w:color="2A7B88" w:sz="2"/>
              <w:bottom w:val="single" w:color="2A7B88" w:sz="2"/>
              <w:right w:val="single" w:color="2A7B88" w:sz="2"/>
            </w:tcBorders>
            <w:shd w:fill="E8F4F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2A7B88"/>
                <w:sz w:val="17"/>
                <w:szCs w:val="17"/>
              </w:rPr>
              <w:t xml:space="preserve">Supporting educators is not separate from supporting children.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It is the same work, seen from a different angle.</w:t>
            </w:r>
          </w:p>
        </w:tc>
      </w:tr>
    </w:tbl>
    <w:p>
      <w:pPr>
        <w:spacing w:before="8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2"/>
              <w:left w:val="single" w:color="2A7B88" w:sz="2"/>
              <w:bottom w:val="single" w:color="2A7B88" w:sz="2"/>
              <w:right w:val="single" w:color="2A7B88" w:sz="2"/>
            </w:tcBorders>
            <w:shd w:fill="E8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A7B88"/>
                <w:sz w:val="17"/>
                <w:szCs w:val="17"/>
              </w:rPr>
              <w:t xml:space="preserve">Behaviour is communication. </w:t>
            </w: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When we look and listen, we begin to understand the voice behind it.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3"/>
        <w:szCs w:val="13"/>
      </w:rPr>
      <w:t xml:space="preserve">© SAND Resources | Support • Assist • Nurture • Development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2A7B88"/>
        <w:sz w:val="15"/>
        <w:szCs w:val="15"/>
      </w:rPr>
      <w:t xml:space="preserve">SAND Resources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2026-03-13T21:45:45.097Z</dcterms:created>
  <dcterms:modified xsi:type="dcterms:W3CDTF">2026-03-13T21:45:45.097Z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